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E8207D" w14:textId="75F29B51" w:rsidR="00336BCC" w:rsidRPr="00D33360" w:rsidRDefault="00927449" w:rsidP="00927449">
      <w:pPr>
        <w:jc w:val="both"/>
        <w:rPr>
          <w:rFonts w:ascii="Times New Roman" w:hAnsi="Times New Roman" w:cs="Times New Roman"/>
          <w:b/>
          <w:bCs/>
          <w:sz w:val="28"/>
          <w:szCs w:val="28"/>
          <w:lang w:val="kk-KZ"/>
        </w:rPr>
      </w:pPr>
      <w:r w:rsidRPr="00D33360">
        <w:rPr>
          <w:rFonts w:ascii="Times New Roman" w:hAnsi="Times New Roman" w:cs="Times New Roman"/>
          <w:b/>
          <w:bCs/>
          <w:sz w:val="28"/>
          <w:szCs w:val="28"/>
          <w:lang w:val="kk-KZ"/>
        </w:rPr>
        <w:t>Лекция №1</w:t>
      </w:r>
    </w:p>
    <w:p w14:paraId="773D62E4" w14:textId="5E05BB15" w:rsidR="00927449" w:rsidRPr="00D33360" w:rsidRDefault="00927449" w:rsidP="00927449">
      <w:pPr>
        <w:pStyle w:val="a3"/>
        <w:numPr>
          <w:ilvl w:val="0"/>
          <w:numId w:val="1"/>
        </w:numPr>
        <w:jc w:val="both"/>
        <w:rPr>
          <w:rFonts w:ascii="Times New Roman" w:hAnsi="Times New Roman" w:cs="Times New Roman"/>
          <w:b/>
          <w:bCs/>
          <w:sz w:val="28"/>
          <w:szCs w:val="28"/>
          <w:lang w:val="kk-KZ"/>
        </w:rPr>
      </w:pPr>
      <w:proofErr w:type="spellStart"/>
      <w:r w:rsidRPr="00D33360">
        <w:rPr>
          <w:rFonts w:ascii="Times New Roman" w:hAnsi="Times New Roman" w:cs="Times New Roman"/>
          <w:b/>
          <w:bCs/>
          <w:sz w:val="28"/>
          <w:szCs w:val="28"/>
          <w:lang w:val="kk-KZ"/>
        </w:rPr>
        <w:t>Краткая</w:t>
      </w:r>
      <w:proofErr w:type="spellEnd"/>
      <w:r w:rsidRPr="00D33360">
        <w:rPr>
          <w:rFonts w:ascii="Times New Roman" w:hAnsi="Times New Roman" w:cs="Times New Roman"/>
          <w:b/>
          <w:bCs/>
          <w:sz w:val="28"/>
          <w:szCs w:val="28"/>
          <w:lang w:val="kk-KZ"/>
        </w:rPr>
        <w:t xml:space="preserve"> </w:t>
      </w:r>
      <w:proofErr w:type="spellStart"/>
      <w:r w:rsidRPr="00D33360">
        <w:rPr>
          <w:rFonts w:ascii="Times New Roman" w:hAnsi="Times New Roman" w:cs="Times New Roman"/>
          <w:b/>
          <w:bCs/>
          <w:sz w:val="28"/>
          <w:szCs w:val="28"/>
          <w:lang w:val="kk-KZ"/>
        </w:rPr>
        <w:t>история</w:t>
      </w:r>
      <w:proofErr w:type="spellEnd"/>
      <w:r w:rsidRPr="00D33360">
        <w:rPr>
          <w:rFonts w:ascii="Times New Roman" w:hAnsi="Times New Roman" w:cs="Times New Roman"/>
          <w:b/>
          <w:bCs/>
          <w:sz w:val="28"/>
          <w:szCs w:val="28"/>
          <w:lang w:val="kk-KZ"/>
        </w:rPr>
        <w:t xml:space="preserve"> </w:t>
      </w:r>
      <w:proofErr w:type="spellStart"/>
      <w:r w:rsidRPr="00D33360">
        <w:rPr>
          <w:rFonts w:ascii="Times New Roman" w:hAnsi="Times New Roman" w:cs="Times New Roman"/>
          <w:b/>
          <w:bCs/>
          <w:sz w:val="28"/>
          <w:szCs w:val="28"/>
          <w:lang w:val="kk-KZ"/>
        </w:rPr>
        <w:t>развития</w:t>
      </w:r>
      <w:proofErr w:type="spellEnd"/>
      <w:r w:rsidRPr="00D33360">
        <w:rPr>
          <w:rFonts w:ascii="Times New Roman" w:hAnsi="Times New Roman" w:cs="Times New Roman"/>
          <w:b/>
          <w:bCs/>
          <w:sz w:val="28"/>
          <w:szCs w:val="28"/>
          <w:lang w:val="kk-KZ"/>
        </w:rPr>
        <w:t xml:space="preserve"> </w:t>
      </w:r>
      <w:proofErr w:type="spellStart"/>
      <w:r w:rsidRPr="00D33360">
        <w:rPr>
          <w:rFonts w:ascii="Times New Roman" w:hAnsi="Times New Roman" w:cs="Times New Roman"/>
          <w:b/>
          <w:bCs/>
          <w:sz w:val="28"/>
          <w:szCs w:val="28"/>
          <w:lang w:val="kk-KZ"/>
        </w:rPr>
        <w:t>инженерной</w:t>
      </w:r>
      <w:proofErr w:type="spellEnd"/>
      <w:r w:rsidRPr="00D33360">
        <w:rPr>
          <w:rFonts w:ascii="Times New Roman" w:hAnsi="Times New Roman" w:cs="Times New Roman"/>
          <w:b/>
          <w:bCs/>
          <w:sz w:val="28"/>
          <w:szCs w:val="28"/>
          <w:lang w:val="kk-KZ"/>
        </w:rPr>
        <w:t xml:space="preserve"> </w:t>
      </w:r>
      <w:proofErr w:type="spellStart"/>
      <w:r w:rsidRPr="00D33360">
        <w:rPr>
          <w:rFonts w:ascii="Times New Roman" w:hAnsi="Times New Roman" w:cs="Times New Roman"/>
          <w:b/>
          <w:bCs/>
          <w:sz w:val="28"/>
          <w:szCs w:val="28"/>
          <w:lang w:val="kk-KZ"/>
        </w:rPr>
        <w:t>инфраструктуры</w:t>
      </w:r>
      <w:proofErr w:type="spellEnd"/>
      <w:r w:rsidRPr="00D33360">
        <w:rPr>
          <w:rFonts w:ascii="Times New Roman" w:hAnsi="Times New Roman" w:cs="Times New Roman"/>
          <w:b/>
          <w:bCs/>
          <w:sz w:val="28"/>
          <w:szCs w:val="28"/>
          <w:lang w:val="kk-KZ"/>
        </w:rPr>
        <w:t xml:space="preserve"> </w:t>
      </w:r>
      <w:proofErr w:type="spellStart"/>
      <w:r w:rsidRPr="00D33360">
        <w:rPr>
          <w:rFonts w:ascii="Times New Roman" w:hAnsi="Times New Roman" w:cs="Times New Roman"/>
          <w:b/>
          <w:bCs/>
          <w:sz w:val="28"/>
          <w:szCs w:val="28"/>
          <w:lang w:val="kk-KZ"/>
        </w:rPr>
        <w:t>городов</w:t>
      </w:r>
      <w:proofErr w:type="spellEnd"/>
      <w:r w:rsidRPr="00D33360">
        <w:rPr>
          <w:rFonts w:ascii="Times New Roman" w:hAnsi="Times New Roman" w:cs="Times New Roman"/>
          <w:b/>
          <w:bCs/>
          <w:sz w:val="28"/>
          <w:szCs w:val="28"/>
          <w:lang w:val="kk-KZ"/>
        </w:rPr>
        <w:t>;</w:t>
      </w:r>
    </w:p>
    <w:p w14:paraId="1CE6FBA8" w14:textId="7BEB3481" w:rsidR="00F129D0" w:rsidRPr="00D33360" w:rsidRDefault="00F129D0" w:rsidP="00927449">
      <w:pPr>
        <w:pStyle w:val="a3"/>
        <w:numPr>
          <w:ilvl w:val="0"/>
          <w:numId w:val="1"/>
        </w:numPr>
        <w:jc w:val="both"/>
        <w:rPr>
          <w:rFonts w:ascii="Times New Roman" w:hAnsi="Times New Roman" w:cs="Times New Roman"/>
          <w:b/>
          <w:bCs/>
          <w:sz w:val="28"/>
          <w:szCs w:val="28"/>
          <w:lang w:val="kk-KZ"/>
        </w:rPr>
      </w:pPr>
      <w:r w:rsidRPr="00D33360">
        <w:rPr>
          <w:rFonts w:ascii="Times New Roman" w:hAnsi="Times New Roman" w:cs="Times New Roman"/>
          <w:b/>
          <w:bCs/>
          <w:sz w:val="28"/>
          <w:szCs w:val="28"/>
          <w:lang w:val="kk-KZ"/>
        </w:rPr>
        <w:t xml:space="preserve">Варианты </w:t>
      </w:r>
      <w:proofErr w:type="spellStart"/>
      <w:r w:rsidRPr="00D33360">
        <w:rPr>
          <w:rFonts w:ascii="Times New Roman" w:hAnsi="Times New Roman" w:cs="Times New Roman"/>
          <w:b/>
          <w:bCs/>
          <w:sz w:val="28"/>
          <w:szCs w:val="28"/>
          <w:lang w:val="kk-KZ"/>
        </w:rPr>
        <w:t>развития</w:t>
      </w:r>
      <w:proofErr w:type="spellEnd"/>
      <w:r w:rsidRPr="00D33360">
        <w:rPr>
          <w:rFonts w:ascii="Times New Roman" w:hAnsi="Times New Roman" w:cs="Times New Roman"/>
          <w:b/>
          <w:bCs/>
          <w:sz w:val="28"/>
          <w:szCs w:val="28"/>
          <w:lang w:val="kk-KZ"/>
        </w:rPr>
        <w:t xml:space="preserve"> </w:t>
      </w:r>
      <w:proofErr w:type="spellStart"/>
      <w:r w:rsidRPr="00D33360">
        <w:rPr>
          <w:rFonts w:ascii="Times New Roman" w:hAnsi="Times New Roman" w:cs="Times New Roman"/>
          <w:b/>
          <w:bCs/>
          <w:sz w:val="28"/>
          <w:szCs w:val="28"/>
          <w:lang w:val="kk-KZ"/>
        </w:rPr>
        <w:t>инженерной</w:t>
      </w:r>
      <w:proofErr w:type="spellEnd"/>
      <w:r w:rsidRPr="00D33360">
        <w:rPr>
          <w:rFonts w:ascii="Times New Roman" w:hAnsi="Times New Roman" w:cs="Times New Roman"/>
          <w:b/>
          <w:bCs/>
          <w:sz w:val="28"/>
          <w:szCs w:val="28"/>
          <w:lang w:val="kk-KZ"/>
        </w:rPr>
        <w:t xml:space="preserve"> </w:t>
      </w:r>
      <w:proofErr w:type="spellStart"/>
      <w:r w:rsidRPr="00D33360">
        <w:rPr>
          <w:rFonts w:ascii="Times New Roman" w:hAnsi="Times New Roman" w:cs="Times New Roman"/>
          <w:b/>
          <w:bCs/>
          <w:sz w:val="28"/>
          <w:szCs w:val="28"/>
          <w:lang w:val="kk-KZ"/>
        </w:rPr>
        <w:t>инфраструктуры</w:t>
      </w:r>
      <w:proofErr w:type="spellEnd"/>
      <w:r w:rsidRPr="00D33360">
        <w:rPr>
          <w:rFonts w:ascii="Times New Roman" w:hAnsi="Times New Roman" w:cs="Times New Roman"/>
          <w:b/>
          <w:bCs/>
          <w:sz w:val="28"/>
          <w:szCs w:val="28"/>
          <w:lang w:val="kk-KZ"/>
        </w:rPr>
        <w:t>.</w:t>
      </w:r>
    </w:p>
    <w:p w14:paraId="276FAA5C" w14:textId="2B6C4C51" w:rsidR="00927449" w:rsidRPr="00D33360" w:rsidRDefault="00927449" w:rsidP="00927449">
      <w:pPr>
        <w:jc w:val="both"/>
        <w:rPr>
          <w:rFonts w:ascii="Times New Roman" w:hAnsi="Times New Roman" w:cs="Times New Roman"/>
          <w:b/>
          <w:bCs/>
          <w:sz w:val="28"/>
          <w:szCs w:val="28"/>
          <w:lang w:val="kk-KZ"/>
        </w:rPr>
      </w:pPr>
    </w:p>
    <w:p w14:paraId="74B8937E" w14:textId="69DF9E11" w:rsidR="00927449" w:rsidRPr="00D33360" w:rsidRDefault="00927449" w:rsidP="00927449">
      <w:pPr>
        <w:jc w:val="both"/>
        <w:rPr>
          <w:rFonts w:ascii="Times New Roman" w:hAnsi="Times New Roman" w:cs="Times New Roman"/>
          <w:sz w:val="28"/>
          <w:szCs w:val="28"/>
        </w:rPr>
      </w:pPr>
      <w:r w:rsidRPr="00D33360">
        <w:rPr>
          <w:rFonts w:ascii="Times New Roman" w:hAnsi="Times New Roman" w:cs="Times New Roman"/>
          <w:b/>
          <w:bCs/>
          <w:color w:val="000000"/>
          <w:sz w:val="28"/>
          <w:szCs w:val="28"/>
          <w:shd w:val="clear" w:color="auto" w:fill="FFFFFF"/>
          <w:lang w:val="kk-KZ"/>
        </w:rPr>
        <w:t xml:space="preserve">      </w:t>
      </w:r>
      <w:proofErr w:type="spellStart"/>
      <w:r w:rsidR="00D33360" w:rsidRPr="00D33360">
        <w:rPr>
          <w:rFonts w:ascii="Times New Roman" w:hAnsi="Times New Roman" w:cs="Times New Roman"/>
          <w:b/>
          <w:bCs/>
          <w:color w:val="000000"/>
          <w:sz w:val="28"/>
          <w:szCs w:val="28"/>
          <w:shd w:val="clear" w:color="auto" w:fill="FFFFFF"/>
          <w:lang w:val="kk-KZ"/>
        </w:rPr>
        <w:t>Вопрос</w:t>
      </w:r>
      <w:proofErr w:type="spellEnd"/>
      <w:r w:rsidR="00D33360" w:rsidRPr="00D33360">
        <w:rPr>
          <w:rFonts w:ascii="Times New Roman" w:hAnsi="Times New Roman" w:cs="Times New Roman"/>
          <w:b/>
          <w:bCs/>
          <w:color w:val="000000"/>
          <w:sz w:val="28"/>
          <w:szCs w:val="28"/>
          <w:shd w:val="clear" w:color="auto" w:fill="FFFFFF"/>
          <w:lang w:val="kk-KZ"/>
        </w:rPr>
        <w:t xml:space="preserve"> №1.</w:t>
      </w:r>
      <w:r w:rsidR="00D33360">
        <w:rPr>
          <w:rFonts w:ascii="Times New Roman" w:hAnsi="Times New Roman" w:cs="Times New Roman"/>
          <w:color w:val="000000"/>
          <w:sz w:val="28"/>
          <w:szCs w:val="28"/>
          <w:shd w:val="clear" w:color="auto" w:fill="FFFFFF"/>
          <w:lang w:val="kk-KZ"/>
        </w:rPr>
        <w:t xml:space="preserve"> </w:t>
      </w:r>
      <w:r w:rsidRPr="00927449">
        <w:rPr>
          <w:rFonts w:ascii="Times New Roman" w:hAnsi="Times New Roman" w:cs="Times New Roman"/>
          <w:color w:val="000000"/>
          <w:sz w:val="28"/>
          <w:szCs w:val="28"/>
          <w:shd w:val="clear" w:color="auto" w:fill="FFFFFF"/>
        </w:rPr>
        <w:t xml:space="preserve">Инженерная инфраструктура - подотрасль материального производства. Понятие «инженерная инфраструктура» утвердилась в 70-х годах ХХ-го столетия в связи с переходом от планирования развития городов к планированию регионов и городских агломераций. Впервые это понятие ввел А.А. </w:t>
      </w:r>
      <w:proofErr w:type="spellStart"/>
      <w:r w:rsidRPr="00927449">
        <w:rPr>
          <w:rFonts w:ascii="Times New Roman" w:hAnsi="Times New Roman" w:cs="Times New Roman"/>
          <w:color w:val="000000"/>
          <w:sz w:val="28"/>
          <w:szCs w:val="28"/>
          <w:shd w:val="clear" w:color="auto" w:fill="FFFFFF"/>
        </w:rPr>
        <w:t>Сегединов</w:t>
      </w:r>
      <w:proofErr w:type="spellEnd"/>
      <w:r w:rsidRPr="00927449">
        <w:rPr>
          <w:rFonts w:ascii="Times New Roman" w:hAnsi="Times New Roman" w:cs="Times New Roman"/>
          <w:color w:val="000000"/>
          <w:sz w:val="28"/>
          <w:szCs w:val="28"/>
          <w:shd w:val="clear" w:color="auto" w:fill="FFFFFF"/>
        </w:rPr>
        <w:t>, представляя территориальную организацию инженерного обеспечения городов как комплекс инженерных систем, обслуживающих потребности промышленности, транспорта, все другие объекты производственных сил, а также население городов, поселков и сельских населенных мест водоснабжением, тепло-, газо-, электроснабжением, средствами связи, водоотведением, дорожно-транспортными коммуникациями. Инфраструктура - это система предприятий по обслуживанию основного производства и населения, которая выполняет социально-экономические функции на территории городов по созданию необходимых условий эффективной деятельности предприятий, отраслей материального производства и объектов непроизводственной сферы. Инфраструктура региона включает в себя производственную, социально-бытовую, экологическую и институционную инфраструктуры. Инженерная инфраструктура является составной частью производственной инфраструктуры, а также входит составной частью объектов ЖКХ и отдельными сооружениями в экологическую инфраструктуру. Таким образом, имея общую материальную базу как системы в целом, отдельные ее элементы подчинены различным ведомственным интересам, различным конечным целям, что и обусловило экстенсивное развитие отраслевых систем инженерного оборудования на территории, которые противостоят задачам регионального водопользования, энергопотребления. Инженерная инфраструктура, в отличие от других инфраструктур, наряду с транспортной системой имеет комплекс производств по выработке инженерной продукции, к которым относятся предприятия по «обогащению» - очистке природных и сточных вод, источников по выработке электрической и тепловой энергии, предприятия по уничтожению и переработке отходов, а также сооружения по преобразованию потенциала транспортируемой продукции. Функциональное назначение инженерной инфраструктуры состоит в обеспечении на конкретной территории всех потребителей водой, энергией, топливом, удалении и захоронении бытовых и производственных отходов производства, в создании воздушно-теплового режима в помещении и санитарно-гигиенических условий для проживания.</w:t>
      </w:r>
      <w:r w:rsidRPr="00927449">
        <w:rPr>
          <w:rFonts w:ascii="Times New Roman" w:hAnsi="Times New Roman" w:cs="Times New Roman"/>
          <w:color w:val="000000"/>
          <w:sz w:val="28"/>
          <w:szCs w:val="28"/>
        </w:rPr>
        <w:br/>
      </w:r>
      <w:r w:rsidRPr="00927449">
        <w:rPr>
          <w:rFonts w:ascii="Times New Roman" w:hAnsi="Times New Roman" w:cs="Times New Roman"/>
          <w:color w:val="000000"/>
          <w:sz w:val="28"/>
          <w:szCs w:val="28"/>
        </w:rPr>
        <w:lastRenderedPageBreak/>
        <w:br/>
      </w:r>
      <w:r w:rsidR="00D33360" w:rsidRPr="00D33360">
        <w:rPr>
          <w:rFonts w:ascii="Times New Roman" w:hAnsi="Times New Roman" w:cs="Times New Roman"/>
          <w:b/>
          <w:bCs/>
          <w:color w:val="000000"/>
          <w:sz w:val="28"/>
          <w:szCs w:val="28"/>
          <w:shd w:val="clear" w:color="auto" w:fill="FFFFFF"/>
          <w:lang w:val="kk-KZ"/>
        </w:rPr>
        <w:t xml:space="preserve">      </w:t>
      </w:r>
      <w:proofErr w:type="spellStart"/>
      <w:r w:rsidR="00D33360" w:rsidRPr="00D33360">
        <w:rPr>
          <w:rFonts w:ascii="Times New Roman" w:hAnsi="Times New Roman" w:cs="Times New Roman"/>
          <w:b/>
          <w:bCs/>
          <w:color w:val="000000"/>
          <w:sz w:val="28"/>
          <w:szCs w:val="28"/>
          <w:shd w:val="clear" w:color="auto" w:fill="FFFFFF"/>
          <w:lang w:val="kk-KZ"/>
        </w:rPr>
        <w:t>Вопрос</w:t>
      </w:r>
      <w:proofErr w:type="spellEnd"/>
      <w:r w:rsidR="00D33360" w:rsidRPr="00D33360">
        <w:rPr>
          <w:rFonts w:ascii="Times New Roman" w:hAnsi="Times New Roman" w:cs="Times New Roman"/>
          <w:b/>
          <w:bCs/>
          <w:color w:val="000000"/>
          <w:sz w:val="28"/>
          <w:szCs w:val="28"/>
          <w:shd w:val="clear" w:color="auto" w:fill="FFFFFF"/>
          <w:lang w:val="kk-KZ"/>
        </w:rPr>
        <w:t xml:space="preserve"> №1</w:t>
      </w:r>
      <w:r w:rsidR="00D33360" w:rsidRPr="00D33360">
        <w:rPr>
          <w:rFonts w:ascii="Times New Roman" w:hAnsi="Times New Roman" w:cs="Times New Roman"/>
          <w:b/>
          <w:bCs/>
          <w:color w:val="000000"/>
          <w:sz w:val="28"/>
          <w:szCs w:val="28"/>
          <w:shd w:val="clear" w:color="auto" w:fill="FFFFFF"/>
          <w:lang w:val="kk-KZ"/>
        </w:rPr>
        <w:t>2</w:t>
      </w:r>
      <w:r w:rsidR="00D33360" w:rsidRPr="00D33360">
        <w:rPr>
          <w:rFonts w:ascii="Times New Roman" w:hAnsi="Times New Roman" w:cs="Times New Roman"/>
          <w:b/>
          <w:bCs/>
          <w:color w:val="000000"/>
          <w:sz w:val="28"/>
          <w:szCs w:val="28"/>
          <w:shd w:val="clear" w:color="auto" w:fill="FFFFFF"/>
          <w:lang w:val="kk-KZ"/>
        </w:rPr>
        <w:t>.</w:t>
      </w:r>
      <w:r w:rsidR="00D33360" w:rsidRPr="00D33360">
        <w:rPr>
          <w:rFonts w:ascii="Times New Roman" w:hAnsi="Times New Roman" w:cs="Times New Roman"/>
          <w:color w:val="000000"/>
          <w:sz w:val="28"/>
          <w:szCs w:val="28"/>
          <w:shd w:val="clear" w:color="auto" w:fill="FFFFFF"/>
        </w:rPr>
        <w:t xml:space="preserve"> Процесс производства инженерной продукции носит межотраслевой характер и определяется специализацией и сложившейся отраслевой системой управления отдельными элементами систем, подчиненных ведомственным интересам. Территориальный принцип планирования диктуется региональными ресурсными признаками формирования комплексов инженерного обеспечения - энергетического (система энергоснабжения энергетического района), водохозяйственного (водные ресурсы) и природный комплекс (земельные ресурсы и природная среда). Примером межотраслевого производственного комплекса инженерной инфраструктуры является топливно-энергетический комплекс, который относится к материальной сфере производства. Планирование развития этого комплекса осуществляется по конечному результату - выпускаемой продукции (электричество, кВт; тепловая энергия, ГДж; пар, т). Возникла необходимость выделения водохозяйственного комплекса, продукцией которого является вода питьевого и технического качества. Специальную подготовку воды потребители осуществляют на предприятиях. Это промышленные, коммунальные предприятия и лабораторные комплексы. Инженерная продукция по форме отличается от продукции материального производства. Ее нематериальная форма, исключающая возможность хранения, обуславливает возможность включения процесса транспортирования (по сетям) в продолжение производственного. Не поданная потребителю инженерная продукция потребительской стоимости не имеет. Потребленная продукция называется инженерной услугой. При этом невостребованная инженерная продукция может быть передана в другие регионы (передача электроэнергии в единую энергетическую систему страны). Инженерная продукция, выступая в виде полезного эффекта, исчезает с ее потреблением. Поэтому резервирование инженерной продукции осуществляется в виде резервирования производственных мощностей и пропускной способности систем. Процесс производства инженерной продукции технологически и экономически взаимосвязан с процессом ее подачи и потреблением. Инженерная инфраструктура представляет собой межотраслевой региональный комплекс по производству инженерной продукции и ее транспортированию потребителям. Еще одна важная особенность инженерной инфраструктуры состоит в том, что ее продукция имеет всеобщий характер. Производственный продукт становится только тогда продуктом потребления, когда он доставлен потребителю. Если предприятия базисных отраслей поставляют свою продукцию ограниченному количеству потребителей, то производственные связи отраслей инфраструктуры гораздо шире. Потребителям необходим весь комплекс инженерного обеспечения (вода, энергия, отвод стоков и удаление отходов). Предоставление инженерной продукции носит непрерывный характер, хотя ее </w:t>
      </w:r>
      <w:r w:rsidR="00D33360" w:rsidRPr="00D33360">
        <w:rPr>
          <w:rFonts w:ascii="Times New Roman" w:hAnsi="Times New Roman" w:cs="Times New Roman"/>
          <w:color w:val="000000"/>
          <w:sz w:val="28"/>
          <w:szCs w:val="28"/>
          <w:shd w:val="clear" w:color="auto" w:fill="FFFFFF"/>
        </w:rPr>
        <w:lastRenderedPageBreak/>
        <w:t xml:space="preserve">потребление и не постоянно во времени. Объем производства продукции планируется, как любая другая продукция обслуживающих производств, а реализуется она в сфере народного хозяйства, личного потребления и природной среды на конкретной территории, что и определяет ее региональный характер. Рост численности городов и концентрация в них промышленных производств обусловили рост объемов применения инженерной продукции, а, следовательно, тенденцию сокращения исчерпаемости топливных и водных ресурсов, а также усиления отрицательного влияния на окружающую среду, нарушения естественного процесса ее </w:t>
      </w:r>
      <w:proofErr w:type="spellStart"/>
      <w:r w:rsidR="00D33360" w:rsidRPr="00D33360">
        <w:rPr>
          <w:rFonts w:ascii="Times New Roman" w:hAnsi="Times New Roman" w:cs="Times New Roman"/>
          <w:color w:val="000000"/>
          <w:sz w:val="28"/>
          <w:szCs w:val="28"/>
          <w:shd w:val="clear" w:color="auto" w:fill="FFFFFF"/>
        </w:rPr>
        <w:t>самоочищаемости</w:t>
      </w:r>
      <w:proofErr w:type="spellEnd"/>
      <w:r w:rsidR="00D33360" w:rsidRPr="00D33360">
        <w:rPr>
          <w:rFonts w:ascii="Times New Roman" w:hAnsi="Times New Roman" w:cs="Times New Roman"/>
          <w:color w:val="000000"/>
          <w:sz w:val="28"/>
          <w:szCs w:val="28"/>
          <w:shd w:val="clear" w:color="auto" w:fill="FFFFFF"/>
        </w:rPr>
        <w:t xml:space="preserve">. Поскольку вода, топливо и земля являются их материальным базисом, вопросы природопользования и охраны природной среды являются неотъемлемой частью функционирования и условий развития производственных комплексов инженерного обеспечения территории. Ухудшение экологической среды требуют выделения млрд. сомов на осуществление природоохранных мероприятий атмосферного воздуха, охрану и рационального использования водных ресурсов. Состояние природной среды, ее отдельных компонентов - таких, как качество воды в источнике, загрязненность атмосферы, грунтовые условия почв, наличие ресурсов - определяют технические требования к технологии производства и транспорта инженерной продукции и уровни издержек ее получения. Исчерпаемость топливных ресурсов увеличила не менее чем в три раза себестоимость тепловой энергии вследствие роста цен на топливо, что ведет к вынужденной необходимости перехода на новые виды энергии (атомную, солнечную) и использованию некондиционных видов ресурсов (ВВР, ВЭР, малоэффективных ресурсов). Решение экологических проблем отдельными предприятиями не приносит ощутимых результатов. Поэтому вопросы охраны природной среды обитания человека - задача общая, а значит региональная. В решении экологических проблем обязаны участвовать все потребители города: путем межведомственной координации инвестиционного и строительного комплекса, в долевой форме, в виде дифференциальной ренты за природопользование. Предприятия, участвующие в реализации </w:t>
      </w:r>
      <w:proofErr w:type="spellStart"/>
      <w:r w:rsidR="00D33360" w:rsidRPr="00D33360">
        <w:rPr>
          <w:rFonts w:ascii="Times New Roman" w:hAnsi="Times New Roman" w:cs="Times New Roman"/>
          <w:color w:val="000000"/>
          <w:sz w:val="28"/>
          <w:szCs w:val="28"/>
          <w:shd w:val="clear" w:color="auto" w:fill="FFFFFF"/>
        </w:rPr>
        <w:t>природосберегающих</w:t>
      </w:r>
      <w:proofErr w:type="spellEnd"/>
      <w:r w:rsidR="00D33360" w:rsidRPr="00D33360">
        <w:rPr>
          <w:rFonts w:ascii="Times New Roman" w:hAnsi="Times New Roman" w:cs="Times New Roman"/>
          <w:color w:val="000000"/>
          <w:sz w:val="28"/>
          <w:szCs w:val="28"/>
          <w:shd w:val="clear" w:color="auto" w:fill="FFFFFF"/>
        </w:rPr>
        <w:t xml:space="preserve"> мероприятий, должны компенсировать свои издержки из централизованного фонда природопользования. Рациональное потребление инженерных услуг - одно из основных направлений интенсификации производства, развитие инженерной инфраструктуры и рационального природопользования. Это обусловливает не только материальный характер производства, но и </w:t>
      </w:r>
      <w:proofErr w:type="spellStart"/>
      <w:r w:rsidR="00D33360" w:rsidRPr="00D33360">
        <w:rPr>
          <w:rFonts w:ascii="Times New Roman" w:hAnsi="Times New Roman" w:cs="Times New Roman"/>
          <w:color w:val="000000"/>
          <w:sz w:val="28"/>
          <w:szCs w:val="28"/>
          <w:shd w:val="clear" w:color="auto" w:fill="FFFFFF"/>
        </w:rPr>
        <w:t>межотраслей</w:t>
      </w:r>
      <w:proofErr w:type="spellEnd"/>
      <w:r w:rsidR="00D33360" w:rsidRPr="00D33360">
        <w:rPr>
          <w:rFonts w:ascii="Times New Roman" w:hAnsi="Times New Roman" w:cs="Times New Roman"/>
          <w:color w:val="000000"/>
          <w:sz w:val="28"/>
          <w:szCs w:val="28"/>
          <w:shd w:val="clear" w:color="auto" w:fill="FFFFFF"/>
        </w:rPr>
        <w:t xml:space="preserve"> и региональный принципы планирования развития инженерной инфраструктуры. Для инженерной инфраструктуры специфична система возмещения инженерных издержек производства. Процесс потребления инженерной продукции осуществляется в двух формах: - производственного и личного потребления. В первом случае инженерная продукция выступает вспомогательным материалом (средством труда), </w:t>
      </w:r>
      <w:r w:rsidR="00D33360" w:rsidRPr="00D33360">
        <w:rPr>
          <w:rFonts w:ascii="Times New Roman" w:hAnsi="Times New Roman" w:cs="Times New Roman"/>
          <w:color w:val="000000"/>
          <w:sz w:val="28"/>
          <w:szCs w:val="28"/>
          <w:shd w:val="clear" w:color="auto" w:fill="FFFFFF"/>
        </w:rPr>
        <w:lastRenderedPageBreak/>
        <w:t xml:space="preserve">обеспечивающим нормальное осуществление производства промышленной продукции. - Во втором случае инженерная продукция является материальной субстанцией услуги. Процесс потребления играет первостепенное значение в характере и количественном соотношении возмещения издержек производства и обращения инженерной продукции. При производственном потреблении возмещение стоимости инженерной продукции происходит в результате реализации промышленной продукции. При личном потреблении возмещение издержек следует практически неразрывно во времени и пространстве с самим потреблением услуг. Для инженерной продукции характерен неэквивалентный обмен. Только производственные потребители инженерной продукции возмещают полностью народнохозяйственные издержки и планируемую прибыль предприятий инженерной инфраструктуры. Население и приравненные к нему потребители (объекты социальной инфраструктуры), лишь частично возмещают их по льготным тарифам, исключающим долю затрат на амортизационные отчисления (реновацию) и прибыль. Такой подход к воспроизводственному процессу способствовал отрыву стоимости инженерной продукции от потребительской стоимости и обусловил более чем 50%-ю компенсацию из фондов общественного потребления для обеспечения расширенного воспроизводства комплекса инженерного обеспечения городов. Приведенные выше признаки позволяют классифицировать межотраслевой комплекс предприятий инженерного обеспечения территорий как комплекс материального производства, конечным результатом которого является инженерная продукция: вода необходимого качества, электрическая и тепловая энергия, топливо, услуги (удаление бытовых и производственных отходов, атмосферных осадков) в целях обеспечения условий жизнедеятельности и труда населения. Региональный характер производства и тесная связь с природопользованием вызывают необходимость комплексной оценки народнохозяйственных затрат при выборе эффективных вариантов развития инженерной инфраструктуры и ее отдельных элементов. В обобщенном виде комплексная экономическая оценка систем инженерного оборудования должна включать общественно необходимые затраты по </w:t>
      </w:r>
      <w:proofErr w:type="spellStart"/>
      <w:r w:rsidR="00D33360" w:rsidRPr="00D33360">
        <w:rPr>
          <w:rFonts w:ascii="Times New Roman" w:hAnsi="Times New Roman" w:cs="Times New Roman"/>
          <w:color w:val="000000"/>
          <w:sz w:val="28"/>
          <w:szCs w:val="28"/>
          <w:shd w:val="clear" w:color="auto" w:fill="FFFFFF"/>
        </w:rPr>
        <w:t>ресурсопотреблению</w:t>
      </w:r>
      <w:proofErr w:type="spellEnd"/>
      <w:r w:rsidR="00D33360" w:rsidRPr="00D33360">
        <w:rPr>
          <w:rFonts w:ascii="Times New Roman" w:hAnsi="Times New Roman" w:cs="Times New Roman"/>
          <w:color w:val="000000"/>
          <w:sz w:val="28"/>
          <w:szCs w:val="28"/>
          <w:shd w:val="clear" w:color="auto" w:fill="FFFFFF"/>
        </w:rPr>
        <w:t xml:space="preserve"> с учетом природоохранных мероприятий, экономические последствия функционирования систем в сопряженных отраслях городского хозяйства наряду с производственно-технологическими затратами по созданию и функционированию систем инженерного оборудования. Выбор эффективных путей развития инженерной инфраструктуры и ее отдельных подотраслей производится на основе сравнительной эффективности по критерию минимума региональных социально-экономических затрат при условии тождественности экологических нормативов и экономически целесообразном уровне </w:t>
      </w:r>
      <w:proofErr w:type="spellStart"/>
      <w:r w:rsidR="00D33360" w:rsidRPr="00D33360">
        <w:rPr>
          <w:rFonts w:ascii="Times New Roman" w:hAnsi="Times New Roman" w:cs="Times New Roman"/>
          <w:color w:val="000000"/>
          <w:sz w:val="28"/>
          <w:szCs w:val="28"/>
          <w:shd w:val="clear" w:color="auto" w:fill="FFFFFF"/>
        </w:rPr>
        <w:t>ресурсопотребления</w:t>
      </w:r>
      <w:proofErr w:type="spellEnd"/>
      <w:r w:rsidR="00D33360" w:rsidRPr="00D33360">
        <w:rPr>
          <w:rFonts w:ascii="Times New Roman" w:hAnsi="Times New Roman" w:cs="Times New Roman"/>
          <w:color w:val="000000"/>
          <w:sz w:val="28"/>
          <w:szCs w:val="28"/>
          <w:shd w:val="clear" w:color="auto" w:fill="FFFFFF"/>
        </w:rPr>
        <w:t xml:space="preserve">. Одной из основных задач повышения эффективности капитальных вложений является выбор экономически </w:t>
      </w:r>
      <w:r w:rsidR="00D33360" w:rsidRPr="00D33360">
        <w:rPr>
          <w:rFonts w:ascii="Times New Roman" w:hAnsi="Times New Roman" w:cs="Times New Roman"/>
          <w:color w:val="000000"/>
          <w:sz w:val="28"/>
          <w:szCs w:val="28"/>
          <w:shd w:val="clear" w:color="auto" w:fill="FFFFFF"/>
        </w:rPr>
        <w:lastRenderedPageBreak/>
        <w:t xml:space="preserve">целесообразных уровней </w:t>
      </w:r>
      <w:proofErr w:type="spellStart"/>
      <w:r w:rsidR="00D33360" w:rsidRPr="00D33360">
        <w:rPr>
          <w:rFonts w:ascii="Times New Roman" w:hAnsi="Times New Roman" w:cs="Times New Roman"/>
          <w:color w:val="000000"/>
          <w:sz w:val="28"/>
          <w:szCs w:val="28"/>
          <w:shd w:val="clear" w:color="auto" w:fill="FFFFFF"/>
        </w:rPr>
        <w:t>ресурсопотребления</w:t>
      </w:r>
      <w:proofErr w:type="spellEnd"/>
      <w:r w:rsidR="00D33360" w:rsidRPr="00D33360">
        <w:rPr>
          <w:rFonts w:ascii="Times New Roman" w:hAnsi="Times New Roman" w:cs="Times New Roman"/>
          <w:color w:val="000000"/>
          <w:sz w:val="28"/>
          <w:szCs w:val="28"/>
          <w:shd w:val="clear" w:color="auto" w:fill="FFFFFF"/>
        </w:rPr>
        <w:t>, надежности отдельных элементов систем инженерного оборудования и системы в целом. При разработке схем развития инженерной инфраструктуры на стадии разработки генеральных планов городов экономически обосновываются пропорции развития ресурсных показателей, определяется взаимовлияние и соотношение трудовых, производственных и природных ресурсов на конкретной территории города, поскольку структура зависит от местных условий обеспеченности ресурсного потенциала региона. При выборе вариантов развития инженерной инфраструктуры должны оцениваться не только вновь вводимые объекты, но и действующие фонды, следует определить объем капитальных вложений на возобновление существующих фондов и объемы ввода, а также на ликвидацию основных производственных фондов. Такой подход позволит ориентировать капитальные вложения на интенсификацию инженерных систем.</w:t>
      </w:r>
      <w:r w:rsidR="00D33360" w:rsidRPr="00D33360">
        <w:rPr>
          <w:rFonts w:ascii="Times New Roman" w:hAnsi="Times New Roman" w:cs="Times New Roman"/>
          <w:color w:val="000000"/>
          <w:sz w:val="28"/>
          <w:szCs w:val="28"/>
        </w:rPr>
        <w:br/>
      </w:r>
    </w:p>
    <w:sectPr w:rsidR="00927449" w:rsidRPr="00D3336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EB7EEA"/>
    <w:multiLevelType w:val="hybridMultilevel"/>
    <w:tmpl w:val="2C1454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6BCC"/>
    <w:rsid w:val="00336BCC"/>
    <w:rsid w:val="00927449"/>
    <w:rsid w:val="00D33360"/>
    <w:rsid w:val="00F129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518D8"/>
  <w15:chartTrackingRefBased/>
  <w15:docId w15:val="{2B0FFCCA-5BF5-4EE2-A471-9B3529D84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274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1749</Words>
  <Characters>9972</Characters>
  <Application>Microsoft Office Word</Application>
  <DocSecurity>0</DocSecurity>
  <Lines>83</Lines>
  <Paragraphs>23</Paragraphs>
  <ScaleCrop>false</ScaleCrop>
  <Company/>
  <LinksUpToDate>false</LinksUpToDate>
  <CharactersWithSpaces>11698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4</cp:revision>
  <dcterms:created xsi:type="dcterms:W3CDTF">2021-04-09T05:28:00Z</dcterms:created>
  <dcterms:modified xsi:type="dcterms:W3CDTF">2021-04-09T05:34:00Z</dcterms:modified>
</cp:coreProperties>
</file>